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anumGothic" w:hAnsi="NanumGothic" w:eastAsia="NanumGothic"/>
          <w:b/>
          <w:color w:val="17365D"/>
          <w:sz w:val="44"/>
        </w:rPr>
        <w:t>Masocampus 기업 개요 및 외환거래 현황</w:t>
      </w:r>
    </w:p>
    <w:p>
      <w:pPr>
        <w:jc w:val="center"/>
      </w:pPr>
      <w:r>
        <w:rPr>
          <w:rFonts w:ascii="NanumGothic" w:hAnsi="NanumGothic" w:eastAsia="NanumGothic"/>
          <w:color w:val="5A5A5A"/>
          <w:sz w:val="20"/>
        </w:rPr>
        <w:t>MM뱅크 외환 컨설팅 실습용 - 모든 내용은 가상입니다</w:t>
      </w:r>
    </w:p>
    <w:p/>
    <w:p>
      <w:pPr>
        <w:pStyle w:val="Heading1"/>
      </w:pPr>
      <w:r>
        <w:t>1. 회사 개요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1984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구분</w:t>
            </w:r>
          </w:p>
        </w:tc>
        <w:tc>
          <w:tcPr>
            <w:tcW w:type="dxa" w:w="7087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내용</w:t>
            </w:r>
          </w:p>
        </w:tc>
      </w:tr>
      <w:tr>
        <w:tc>
          <w:tcPr>
            <w:tcW w:type="dxa" w:w="198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회사명</w:t>
            </w:r>
          </w:p>
        </w:tc>
        <w:tc>
          <w:tcPr>
            <w:tcW w:type="dxa" w:w="7087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Masocampus 주식회사</w:t>
            </w:r>
          </w:p>
        </w:tc>
      </w:tr>
      <w:tr>
        <w:tc>
          <w:tcPr>
            <w:tcW w:type="dxa" w:w="198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설립연도</w:t>
            </w:r>
          </w:p>
        </w:tc>
        <w:tc>
          <w:tcPr>
            <w:tcW w:type="dxa" w:w="7087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2018년</w:t>
            </w:r>
          </w:p>
        </w:tc>
      </w:tr>
      <w:tr>
        <w:tc>
          <w:tcPr>
            <w:tcW w:type="dxa" w:w="198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본사</w:t>
            </w:r>
          </w:p>
        </w:tc>
        <w:tc>
          <w:tcPr>
            <w:tcW w:type="dxa" w:w="7087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서울특별시 강남구</w:t>
            </w:r>
          </w:p>
        </w:tc>
      </w:tr>
      <w:tr>
        <w:tc>
          <w:tcPr>
            <w:tcW w:type="dxa" w:w="198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업종</w:t>
            </w:r>
          </w:p>
        </w:tc>
        <w:tc>
          <w:tcPr>
            <w:tcW w:type="dxa" w:w="7087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기업 교육 콘텐츠 및 데이터 기반 학습 솔루션 개발</w:t>
            </w:r>
          </w:p>
        </w:tc>
      </w:tr>
      <w:tr>
        <w:tc>
          <w:tcPr>
            <w:tcW w:type="dxa" w:w="198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주요 서비스</w:t>
            </w:r>
          </w:p>
        </w:tc>
        <w:tc>
          <w:tcPr>
            <w:tcW w:type="dxa" w:w="7087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기업 맞춤형 온라인 교육, 데이터 분석 교육, 글로벌 학습 플랫폼</w:t>
            </w:r>
          </w:p>
        </w:tc>
      </w:tr>
      <w:tr>
        <w:tc>
          <w:tcPr>
            <w:tcW w:type="dxa" w:w="198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임직원 수</w:t>
            </w:r>
          </w:p>
        </w:tc>
        <w:tc>
          <w:tcPr>
            <w:tcW w:type="dxa" w:w="7087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96명</w:t>
            </w:r>
          </w:p>
        </w:tc>
      </w:tr>
      <w:tr>
        <w:tc>
          <w:tcPr>
            <w:tcW w:type="dxa" w:w="198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최근연도 매출액</w:t>
            </w:r>
          </w:p>
        </w:tc>
        <w:tc>
          <w:tcPr>
            <w:tcW w:type="dxa" w:w="7087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186억 원</w:t>
            </w:r>
          </w:p>
        </w:tc>
      </w:tr>
      <w:tr>
        <w:tc>
          <w:tcPr>
            <w:tcW w:type="dxa" w:w="1984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해외매출 비중</w:t>
            </w:r>
          </w:p>
        </w:tc>
        <w:tc>
          <w:tcPr>
            <w:tcW w:type="dxa" w:w="7087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약 34%</w:t>
            </w:r>
          </w:p>
        </w:tc>
      </w:tr>
    </w:tbl>
    <w:p/>
    <w:p>
      <w:pPr>
        <w:pStyle w:val="Heading1"/>
      </w:pPr>
      <w:r>
        <w:t>2. 해외사업 구조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미국 소재 기업 고객에게 데이터 분석 및 AI 교육 콘텐츠를 구독형으로 제공한다.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유럽 파트너사에는 영어·현지어 교육 콘텐츠 라이선스를 공급한다.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해외 고객의 대금 결제는 계약 후 월별 또는 분기별 후불 방식이며, 회수기간은 평균 60~90일이다.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해외 클라우드, 번역, 콘텐츠 저작도구 사용료는 주로 USD로 지급한다.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994"/>
        <w:gridCol w:w="1994"/>
        <w:gridCol w:w="1994"/>
        <w:gridCol w:w="1994"/>
        <w:gridCol w:w="1994"/>
      </w:tblGrid>
      <w:tr>
        <w:tc>
          <w:tcPr>
            <w:tcW w:type="dxa" w:w="1417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지역</w:t>
            </w:r>
          </w:p>
        </w:tc>
        <w:tc>
          <w:tcPr>
            <w:tcW w:type="dxa" w:w="1417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매출 비중</w:t>
            </w:r>
          </w:p>
        </w:tc>
        <w:tc>
          <w:tcPr>
            <w:tcW w:type="dxa" w:w="1417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주요 결제통화</w:t>
            </w:r>
          </w:p>
        </w:tc>
        <w:tc>
          <w:tcPr>
            <w:tcW w:type="dxa" w:w="1984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평균 회수기간</w:t>
            </w:r>
          </w:p>
        </w:tc>
        <w:tc>
          <w:tcPr>
            <w:tcW w:type="dxa" w:w="3118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특이사항</w:t>
            </w:r>
          </w:p>
        </w:tc>
      </w:tr>
      <w:tr>
        <w:tc>
          <w:tcPr>
            <w:tcW w:type="dxa" w:w="1417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미국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70%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USD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75일</w:t>
            </w:r>
          </w:p>
        </w:tc>
        <w:tc>
          <w:tcPr>
            <w:tcW w:type="dxa" w:w="3118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대형 고객 3개사 매출 편중</w:t>
            </w:r>
          </w:p>
        </w:tc>
      </w:tr>
      <w:tr>
        <w:tc>
          <w:tcPr>
            <w:tcW w:type="dxa" w:w="1417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유럽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30%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EUR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65일</w:t>
            </w:r>
          </w:p>
        </w:tc>
        <w:tc>
          <w:tcPr>
            <w:tcW w:type="dxa" w:w="3118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분기별 라이선스 수입 비중 높음</w:t>
            </w:r>
          </w:p>
        </w:tc>
      </w:tr>
    </w:tbl>
    <w:p/>
    <w:p>
      <w:pPr>
        <w:pStyle w:val="Heading1"/>
      </w:pPr>
      <w:r>
        <w:t>3. 외환거래 현황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항목</w:t>
            </w:r>
          </w:p>
        </w:tc>
        <w:tc>
          <w:tcPr>
            <w:tcW w:type="dxa" w:w="4986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현황</w:t>
            </w:r>
          </w:p>
        </w:tc>
      </w:tr>
      <w:tr>
        <w:tc>
          <w:tcPr>
            <w:tcW w:type="dxa" w:w="4986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연간 예상 수출대금</w:t>
            </w:r>
          </w:p>
        </w:tc>
        <w:tc>
          <w:tcPr>
            <w:tcW w:type="dxa" w:w="4986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USD 5.6백만, EUR 2.1백만</w:t>
            </w:r>
          </w:p>
        </w:tc>
      </w:tr>
      <w:tr>
        <w:tc>
          <w:tcPr>
            <w:tcW w:type="dxa" w:w="4986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연간 예상 외화지급</w:t>
            </w:r>
          </w:p>
        </w:tc>
        <w:tc>
          <w:tcPr>
            <w:tcW w:type="dxa" w:w="4986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USD 1.9백만</w:t>
            </w:r>
          </w:p>
        </w:tc>
      </w:tr>
      <w:tr>
        <w:tc>
          <w:tcPr>
            <w:tcW w:type="dxa" w:w="4986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외환거래 은행</w:t>
            </w:r>
          </w:p>
        </w:tc>
        <w:tc>
          <w:tcPr>
            <w:tcW w:type="dxa" w:w="4986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3개 은행에 분산</w:t>
            </w:r>
          </w:p>
        </w:tc>
      </w:tr>
      <w:tr>
        <w:tc>
          <w:tcPr>
            <w:tcW w:type="dxa" w:w="4986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환헤지 현황</w:t>
            </w:r>
          </w:p>
        </w:tc>
        <w:tc>
          <w:tcPr>
            <w:tcW w:type="dxa" w:w="4986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정기 헤지정책 없음. 필요 시 담당 임원이 환전 시점 결정</w:t>
            </w:r>
          </w:p>
        </w:tc>
      </w:tr>
      <w:tr>
        <w:tc>
          <w:tcPr>
            <w:tcW w:type="dxa" w:w="4986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평균 환전방식</w:t>
            </w:r>
          </w:p>
        </w:tc>
        <w:tc>
          <w:tcPr>
            <w:tcW w:type="dxa" w:w="4986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입금 후 1~3영업일 내 전액 현물환 매도</w:t>
            </w:r>
          </w:p>
        </w:tc>
      </w:tr>
      <w:tr>
        <w:tc>
          <w:tcPr>
            <w:tcW w:type="dxa" w:w="4986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주요 문제</w:t>
            </w:r>
          </w:p>
        </w:tc>
        <w:tc>
          <w:tcPr>
            <w:tcW w:type="dxa" w:w="4986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환율 변동 손익 불확실, 담당자 의존, 수수료 및 거래내역 관리 분산</w:t>
            </w:r>
          </w:p>
        </w:tc>
      </w:tr>
    </w:tbl>
    <w:p/>
    <w:p>
      <w:pPr>
        <w:pStyle w:val="Heading1"/>
      </w:pPr>
      <w:r>
        <w:t>4. 경영진 요청사항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향후 12개월 외화 현금흐름을 기준으로 현실적인 환리스크 관리방안을 제시할 것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투기적 환율 전망보다 운영 가능한 원칙과 실행 절차를 우선할 것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외환거래 은행 통합 시 비용 절감과 업무 효율 개선 효과를 함께 검토할 것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재무팀 2명이 지속적으로 운영할 수 있는 단순한 관리체계를 제안할 것</w:t>
      </w:r>
    </w:p>
    <w:p>
      <w:pPr>
        <w:pStyle w:val="Heading1"/>
      </w:pPr>
      <w:r>
        <w:t>5. 실습상 유의사항</w:t>
      </w:r>
    </w:p>
    <w:p>
      <w:pPr>
        <w:spacing w:before="80"/>
      </w:pPr>
      <w:r>
        <w:t>본 자료는 교육을 위해 작성된 가상 사례입니다. 실제 회사, 금융기관, 상품 또는 거래조건과 무관하며, 수치와 사실을 외부 자료처럼 인용해서는 안 됩니다.</w:t>
      </w:r>
    </w:p>
    <w:sectPr w:rsidR="00FC693F" w:rsidRPr="0006063C" w:rsidSect="00034616"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anumGothic" w:hAnsi="NanumGothic" w:eastAsia="NanumGothic"/>
        <w:color w:val="646464"/>
        <w:sz w:val="16"/>
      </w:rPr>
      <w:t>MM뱅크 외환 전문요원 실습용 가상자료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NanumGothic" w:hAnsi="NanumGothic" w:eastAsia="NanumGothic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NanumGothic" w:hAnsi="NanumGothic" w:eastAsia="NanumGothic"/>
      <w:b/>
      <w:bCs/>
      <w:color w:val="17365D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NanumGothic" w:hAnsi="NanumGothic" w:eastAsia="NanumGothic"/>
      <w:b/>
      <w:bCs/>
      <w:color w:val="2F75B5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NanumGothic" w:hAnsi="NanumGothic" w:eastAsia="NanumGothic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NanumGothic" w:hAnsi="NanumGothic" w:eastAsia="NanumGothic"/>
      <w:b/>
      <w:color w:val="17365D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